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00" w:rsidRDefault="001D7400" w:rsidP="001D7400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b/>
          <w:bCs/>
          <w:color w:val="4F4F4F"/>
          <w:sz w:val="21"/>
          <w:szCs w:val="21"/>
        </w:rPr>
        <w:t>О требованиях к микроклимату помещений в общеобразовательных и дошкольных организациях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настоящее время в связи с подъемом заболеваемости гриппом и ОРВИ в РФ обращаем внимание на соблюдение требований к микроклимату помещений в общеобразовательных и дошкольных организациях. Это одно из мероприятий, направленных на профилактику острых респираторных вирусных инфекций и гриппа.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Управление Роспотребнадзора по Ленинградской области напоминает, что требования к микроклимату помещений в общеобразовательных и дошкольных организациях регулируются санитарными правилами СанПиН 2.4.2.2821-10 «Санитарно-эпидемиологические требования к условиям и организации обучения в общеобразовательных учреждениях»,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общеобразовательных учреждениях гигиенические нормативы температуры воздуха составляют: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18 -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24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в учебных помещениях и кабинетах, кабинетах психолога и логопеда, лабораториях, актовом зале, столовой, рекреациях, библиотеке, вестибюле, гардеробе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17 -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20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в спортзале и комнатах для проведения секционных занятий, мастерских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20 -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24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спальне, игровых комнатах, помещениях подразделений дошкольного образования и пришкольного интерната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20 -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22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медицинских кабинетах, раздевальных комнатах спортивного зала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19 -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21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санитарных узлах и комнатах личной гигиены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основных помещениях детского сада гигиенические нормативы температуры воздуха составляют: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22 –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24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Приемные, игровые ясельных групповых ячеек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21 –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23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Приемные, игровые младшей, средней, старшей групповых ячеек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19 –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20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Спальни всех групповых ячеек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22 –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24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Помещения медицинского назначения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25 –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26 °C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>
        <w:rPr>
          <w:rFonts w:ascii="Verdana" w:hAnsi="Verdana"/>
          <w:color w:val="4F4F4F"/>
          <w:sz w:val="21"/>
          <w:szCs w:val="21"/>
        </w:rPr>
        <w:t>- Раздевалка с душевой бассейна.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Все помещения дошкольной организации должны ежедневно проветриваться.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Проветривание проводится не менее 10 минут через каждые 1,5 часа. Сквозное проветривание в присутствии детей не проводится. Проветривание через туалетные комнаты не допускается.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Длительность проветривания зависит от температуры наружного воздуха, направления ветра, эффективности отопительной системы.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Проветривание проводится в отсутствие детей и заканчивается за 30 минут до их прихода с прогулки или занятий.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помещениях спален сквозное проветривание проводится до дневного сна.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Параметры микроклимата в общеобразовательных и дошкольных организациях контролируются с применением лабораторно-инструментальных исследований.</w:t>
      </w:r>
    </w:p>
    <w:p w:rsidR="001D7400" w:rsidRDefault="001D7400" w:rsidP="001D7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случае несоответствия гигиеническим нормативам параметров микроклимата в помещениях Управления по субъектам Российской Федерации применяют меры административного воздействия, вплоть до приостановления деятельности. Ситуация находится на контроле Управления Роспотребнадзора по Ленинградской области.</w:t>
      </w:r>
    </w:p>
    <w:p w:rsidR="00637F17" w:rsidRDefault="00637F17"/>
    <w:sectPr w:rsidR="00637F17" w:rsidSect="0004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7400"/>
    <w:rsid w:val="000452C4"/>
    <w:rsid w:val="001D7400"/>
    <w:rsid w:val="00637F17"/>
    <w:rsid w:val="00B7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79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Админ</cp:lastModifiedBy>
  <cp:revision>2</cp:revision>
  <dcterms:created xsi:type="dcterms:W3CDTF">2017-01-24T09:37:00Z</dcterms:created>
  <dcterms:modified xsi:type="dcterms:W3CDTF">2017-01-24T09:37:00Z</dcterms:modified>
</cp:coreProperties>
</file>